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0000" w:rsidRDefault="00024148">
      <w:pPr>
        <w:widowControl w:val="0"/>
        <w:autoSpaceDE w:val="0"/>
        <w:autoSpaceDN w:val="0"/>
        <w:adjustRightInd w:val="0"/>
        <w:spacing w:after="0" w:line="240" w:lineRule="auto"/>
        <w:jc w:val="both"/>
        <w:rPr>
          <w:rFonts w:ascii="Times New Roman" w:hAnsi="Times New Roman"/>
          <w:color w:val="000000"/>
          <w:sz w:val="20"/>
          <w:szCs w:val="20"/>
        </w:rPr>
      </w:pPr>
      <w:bookmarkStart w:id="0" w:name="_GoBack"/>
      <w:bookmarkEnd w:id="0"/>
    </w:p>
    <w:p w:rsidR="00000000" w:rsidRDefault="00024148">
      <w:pPr>
        <w:widowControl w:val="0"/>
        <w:autoSpaceDE w:val="0"/>
        <w:autoSpaceDN w:val="0"/>
        <w:adjustRightInd w:val="0"/>
        <w:spacing w:after="0" w:line="240" w:lineRule="auto"/>
        <w:rPr>
          <w:rFonts w:ascii="Arial" w:hAnsi="Arial" w:cs="Arial"/>
          <w:sz w:val="24"/>
          <w:szCs w:val="24"/>
        </w:rPr>
        <w:sectPr w:rsidR="00000000">
          <w:headerReference w:type="default" r:id="rId6"/>
          <w:footerReference w:type="default" r:id="rId7"/>
          <w:pgSz w:w="12240" w:h="15840"/>
          <w:pgMar w:top="1080" w:right="1080" w:bottom="1080" w:left="1080" w:header="720" w:footer="720" w:gutter="0"/>
          <w:cols w:space="720"/>
          <w:noEndnote/>
        </w:sectPr>
      </w:pPr>
    </w:p>
    <w:p w:rsidR="00000000" w:rsidRDefault="00024148">
      <w:pPr>
        <w:widowControl w:val="0"/>
        <w:autoSpaceDE w:val="0"/>
        <w:autoSpaceDN w:val="0"/>
        <w:adjustRightInd w:val="0"/>
        <w:spacing w:after="0" w:line="240" w:lineRule="auto"/>
        <w:rPr>
          <w:rFonts w:ascii="Times New Roman" w:hAnsi="Times New Roman"/>
          <w:color w:val="000000"/>
          <w:sz w:val="20"/>
          <w:szCs w:val="20"/>
        </w:rPr>
      </w:pPr>
      <w:bookmarkStart w:id="1" w:name="co_document_1"/>
      <w:bookmarkStart w:id="2" w:name="I381cf3f149c811db99a18fc28eb0d9ae_Target"/>
      <w:bookmarkEnd w:id="1"/>
      <w:bookmarkEnd w:id="2"/>
    </w:p>
    <w:p w:rsidR="00000000" w:rsidRDefault="00024148">
      <w:pPr>
        <w:widowControl w:val="0"/>
        <w:autoSpaceDE w:val="0"/>
        <w:autoSpaceDN w:val="0"/>
        <w:adjustRightInd w:val="0"/>
        <w:spacing w:after="0" w:line="240" w:lineRule="auto"/>
        <w:jc w:val="center"/>
        <w:rPr>
          <w:rFonts w:ascii="Georgia" w:hAnsi="Georgia" w:cs="Georgia"/>
          <w:color w:val="000000"/>
          <w:sz w:val="20"/>
          <w:szCs w:val="20"/>
        </w:rPr>
      </w:pPr>
      <w:r>
        <w:rPr>
          <w:rFonts w:ascii="Georgia" w:hAnsi="Georgia" w:cs="Georgia"/>
          <w:color w:val="000000"/>
          <w:sz w:val="20"/>
          <w:szCs w:val="20"/>
        </w:rPr>
        <w:t>55 Food &amp; Drug L.J. 33</w:t>
      </w:r>
    </w:p>
    <w:p w:rsidR="00000000" w:rsidRDefault="00024148">
      <w:pPr>
        <w:widowControl w:val="0"/>
        <w:autoSpaceDE w:val="0"/>
        <w:autoSpaceDN w:val="0"/>
        <w:adjustRightInd w:val="0"/>
        <w:spacing w:before="400" w:after="0" w:line="240" w:lineRule="auto"/>
        <w:jc w:val="center"/>
        <w:rPr>
          <w:rFonts w:ascii="Times New Roman" w:hAnsi="Times New Roman"/>
          <w:b/>
          <w:bCs/>
          <w:color w:val="000000"/>
          <w:sz w:val="20"/>
          <w:szCs w:val="20"/>
        </w:rPr>
      </w:pPr>
      <w:r>
        <w:rPr>
          <w:rFonts w:ascii="Times New Roman" w:hAnsi="Times New Roman"/>
          <w:b/>
          <w:bCs/>
          <w:color w:val="000000"/>
          <w:sz w:val="20"/>
          <w:szCs w:val="20"/>
        </w:rPr>
        <w:t>Food &amp; Drug Law Journal</w:t>
      </w:r>
    </w:p>
    <w:p w:rsidR="00000000" w:rsidRDefault="00024148">
      <w:pPr>
        <w:widowControl w:val="0"/>
        <w:autoSpaceDE w:val="0"/>
        <w:autoSpaceDN w:val="0"/>
        <w:adjustRightInd w:val="0"/>
        <w:spacing w:after="0" w:line="240" w:lineRule="auto"/>
        <w:jc w:val="center"/>
        <w:rPr>
          <w:rFonts w:ascii="Georgia" w:hAnsi="Georgia" w:cs="Georgia"/>
          <w:color w:val="000000"/>
          <w:sz w:val="20"/>
          <w:szCs w:val="20"/>
        </w:rPr>
      </w:pPr>
      <w:r>
        <w:rPr>
          <w:rFonts w:ascii="Georgia" w:hAnsi="Georgia" w:cs="Georgia"/>
          <w:color w:val="000000"/>
          <w:sz w:val="20"/>
          <w:szCs w:val="20"/>
        </w:rPr>
        <w:t>2000</w:t>
      </w:r>
    </w:p>
    <w:p w:rsidR="00000000" w:rsidRDefault="00024148">
      <w:pPr>
        <w:widowControl w:val="0"/>
        <w:autoSpaceDE w:val="0"/>
        <w:autoSpaceDN w:val="0"/>
        <w:adjustRightInd w:val="0"/>
        <w:spacing w:before="200" w:after="200" w:line="240" w:lineRule="auto"/>
        <w:ind w:left="100" w:right="100"/>
        <w:jc w:val="center"/>
        <w:rPr>
          <w:rFonts w:ascii="Georgia" w:hAnsi="Georgia" w:cs="Georgia"/>
          <w:color w:val="252525"/>
          <w:sz w:val="20"/>
          <w:szCs w:val="20"/>
        </w:rPr>
      </w:pPr>
      <w:r>
        <w:rPr>
          <w:rFonts w:ascii="Georgia" w:hAnsi="Georgia" w:cs="Georgia"/>
          <w:color w:val="252525"/>
          <w:sz w:val="20"/>
          <w:szCs w:val="20"/>
        </w:rPr>
        <w:t>ANIMAL DRUGS: FUTURE STEPCHILD OR PIONEER?</w:t>
      </w:r>
    </w:p>
    <w:p w:rsidR="00000000" w:rsidRDefault="00024148">
      <w:pPr>
        <w:widowControl w:val="0"/>
        <w:autoSpaceDE w:val="0"/>
        <w:autoSpaceDN w:val="0"/>
        <w:adjustRightInd w:val="0"/>
        <w:spacing w:before="200" w:after="200" w:line="240" w:lineRule="auto"/>
        <w:jc w:val="center"/>
        <w:rPr>
          <w:rFonts w:ascii="Times New Roman" w:hAnsi="Times New Roman"/>
          <w:color w:val="000000"/>
          <w:sz w:val="20"/>
          <w:szCs w:val="20"/>
        </w:rPr>
      </w:pPr>
      <w:r>
        <w:rPr>
          <w:rFonts w:ascii="Times New Roman" w:hAnsi="Times New Roman"/>
          <w:color w:val="000000"/>
          <w:sz w:val="20"/>
          <w:szCs w:val="20"/>
        </w:rPr>
        <w:t>Copyright (c) 2000 Food and Drug Law Institute; Eugene I. Lambert</w:t>
      </w:r>
    </w:p>
    <w:p w:rsidR="00000000" w:rsidRDefault="00024148">
      <w:pPr>
        <w:widowControl w:val="0"/>
        <w:autoSpaceDE w:val="0"/>
        <w:autoSpaceDN w:val="0"/>
        <w:adjustRightInd w:val="0"/>
        <w:spacing w:after="0" w:line="240" w:lineRule="auto"/>
        <w:jc w:val="both"/>
        <w:rPr>
          <w:rFonts w:ascii="Times New Roman" w:hAnsi="Times New Roman"/>
          <w:color w:val="000000"/>
          <w:sz w:val="20"/>
          <w:szCs w:val="20"/>
        </w:rPr>
      </w:pPr>
      <w:bookmarkStart w:id="3" w:name="co_g_ID0EAH_1"/>
      <w:bookmarkEnd w:id="3"/>
      <w:r>
        <w:rPr>
          <w:rFonts w:ascii="Times New Roman" w:hAnsi="Times New Roman"/>
          <w:color w:val="000000"/>
          <w:sz w:val="20"/>
          <w:szCs w:val="20"/>
        </w:rPr>
        <w:t>Submitted by Eugene I. Lambert</w:t>
      </w:r>
    </w:p>
    <w:p w:rsidR="00000000" w:rsidRDefault="00024148">
      <w:pPr>
        <w:widowControl w:val="0"/>
        <w:autoSpaceDE w:val="0"/>
        <w:autoSpaceDN w:val="0"/>
        <w:adjustRightInd w:val="0"/>
        <w:spacing w:after="0" w:line="240" w:lineRule="auto"/>
        <w:jc w:val="both"/>
        <w:rPr>
          <w:rFonts w:ascii="Times New Roman" w:hAnsi="Times New Roman"/>
          <w:color w:val="000000"/>
          <w:sz w:val="20"/>
          <w:szCs w:val="20"/>
        </w:rPr>
      </w:pPr>
      <w:r>
        <w:rPr>
          <w:rFonts w:ascii="Times New Roman" w:hAnsi="Times New Roman"/>
          <w:color w:val="000000"/>
          <w:sz w:val="20"/>
          <w:szCs w:val="20"/>
        </w:rPr>
        <w:t> </w:t>
      </w:r>
    </w:p>
    <w:p w:rsidR="00000000" w:rsidRDefault="00024148">
      <w:pPr>
        <w:widowControl w:val="0"/>
        <w:autoSpaceDE w:val="0"/>
        <w:autoSpaceDN w:val="0"/>
        <w:adjustRightInd w:val="0"/>
        <w:spacing w:before="200" w:after="200" w:line="240" w:lineRule="auto"/>
        <w:jc w:val="center"/>
        <w:rPr>
          <w:rFonts w:ascii="Times New Roman" w:hAnsi="Times New Roman"/>
          <w:b/>
          <w:bCs/>
          <w:color w:val="000000"/>
          <w:sz w:val="20"/>
          <w:szCs w:val="20"/>
        </w:rPr>
      </w:pPr>
      <w:bookmarkStart w:id="4" w:name="co_g_ID0ENH_1"/>
      <w:bookmarkEnd w:id="4"/>
      <w:r>
        <w:rPr>
          <w:rFonts w:ascii="Times New Roman" w:hAnsi="Times New Roman"/>
          <w:b/>
          <w:bCs/>
          <w:color w:val="000000"/>
          <w:sz w:val="20"/>
          <w:szCs w:val="20"/>
        </w:rPr>
        <w:t>THE CENTER FOR VETERINARY MEDICINE</w:t>
      </w:r>
    </w:p>
    <w:p w:rsidR="00000000" w:rsidRDefault="00024148">
      <w:pPr>
        <w:widowControl w:val="0"/>
        <w:autoSpaceDE w:val="0"/>
        <w:autoSpaceDN w:val="0"/>
        <w:adjustRightInd w:val="0"/>
        <w:spacing w:after="0" w:line="240" w:lineRule="auto"/>
        <w:jc w:val="both"/>
        <w:rPr>
          <w:rFonts w:ascii="Times New Roman" w:hAnsi="Times New Roman"/>
          <w:color w:val="000000"/>
          <w:sz w:val="20"/>
          <w:szCs w:val="20"/>
        </w:rPr>
      </w:pPr>
      <w:bookmarkStart w:id="5" w:name="co_g_ID0EXH_1"/>
      <w:bookmarkEnd w:id="5"/>
      <w:r>
        <w:rPr>
          <w:rFonts w:ascii="Times New Roman" w:hAnsi="Times New Roman"/>
          <w:color w:val="000000"/>
          <w:sz w:val="20"/>
          <w:szCs w:val="20"/>
        </w:rPr>
        <w:t xml:space="preserve">Organizationally, the regulation of animal drugs at FDA always has taken a backseat to the larger regulation of human food, drugs, and medical devices. Even with </w:t>
      </w:r>
      <w:r>
        <w:rPr>
          <w:rFonts w:ascii="Times New Roman" w:hAnsi="Times New Roman"/>
          <w:color w:val="000000"/>
          <w:sz w:val="20"/>
          <w:szCs w:val="20"/>
        </w:rPr>
        <w:t>“</w:t>
      </w:r>
      <w:r>
        <w:rPr>
          <w:rFonts w:ascii="Times New Roman" w:hAnsi="Times New Roman"/>
          <w:color w:val="000000"/>
          <w:sz w:val="20"/>
          <w:szCs w:val="20"/>
        </w:rPr>
        <w:t>Center</w:t>
      </w:r>
      <w:r>
        <w:rPr>
          <w:rFonts w:ascii="Times New Roman" w:hAnsi="Times New Roman"/>
          <w:color w:val="000000"/>
          <w:sz w:val="20"/>
          <w:szCs w:val="20"/>
        </w:rPr>
        <w:t>”</w:t>
      </w:r>
      <w:r>
        <w:rPr>
          <w:rFonts w:ascii="Times New Roman" w:hAnsi="Times New Roman"/>
          <w:color w:val="000000"/>
          <w:sz w:val="20"/>
          <w:szCs w:val="20"/>
        </w:rPr>
        <w:t xml:space="preserve"> status, the Center for V</w:t>
      </w:r>
      <w:r>
        <w:rPr>
          <w:rFonts w:ascii="Times New Roman" w:hAnsi="Times New Roman"/>
          <w:color w:val="000000"/>
          <w:sz w:val="20"/>
          <w:szCs w:val="20"/>
        </w:rPr>
        <w:t>eterinary Medicine (CVM) is not on par with the other four Centers: the Center for Food Safety and Applied Nutrition, the Center for Devices and Radiological Health, the Center for Drug Evaluation and Research, or the Center for Biologics Evaluation and Re</w:t>
      </w:r>
      <w:r>
        <w:rPr>
          <w:rFonts w:ascii="Times New Roman" w:hAnsi="Times New Roman"/>
          <w:color w:val="000000"/>
          <w:sz w:val="20"/>
          <w:szCs w:val="20"/>
        </w:rPr>
        <w:t>search. Yet, the issues that confront CVM (and its predecessors) and that will continue to be of importance, will be in the forefront of regulation, both substantively and procedurally.</w:t>
      </w:r>
    </w:p>
    <w:p w:rsidR="00000000" w:rsidRDefault="00024148">
      <w:pPr>
        <w:widowControl w:val="0"/>
        <w:autoSpaceDE w:val="0"/>
        <w:autoSpaceDN w:val="0"/>
        <w:adjustRightInd w:val="0"/>
        <w:spacing w:after="0" w:line="240" w:lineRule="auto"/>
        <w:jc w:val="both"/>
        <w:rPr>
          <w:rFonts w:ascii="Times New Roman" w:hAnsi="Times New Roman"/>
          <w:color w:val="000000"/>
          <w:sz w:val="20"/>
          <w:szCs w:val="20"/>
        </w:rPr>
      </w:pPr>
      <w:r>
        <w:rPr>
          <w:rFonts w:ascii="Times New Roman" w:hAnsi="Times New Roman"/>
          <w:color w:val="000000"/>
          <w:sz w:val="20"/>
          <w:szCs w:val="20"/>
        </w:rPr>
        <w:t> </w:t>
      </w:r>
    </w:p>
    <w:p w:rsidR="00000000" w:rsidRDefault="00024148">
      <w:pPr>
        <w:widowControl w:val="0"/>
        <w:autoSpaceDE w:val="0"/>
        <w:autoSpaceDN w:val="0"/>
        <w:adjustRightInd w:val="0"/>
        <w:spacing w:after="0" w:line="240" w:lineRule="auto"/>
        <w:jc w:val="both"/>
        <w:rPr>
          <w:rFonts w:ascii="Times New Roman" w:hAnsi="Times New Roman"/>
          <w:color w:val="000000"/>
          <w:sz w:val="20"/>
          <w:szCs w:val="20"/>
        </w:rPr>
      </w:pPr>
      <w:bookmarkStart w:id="6" w:name="co_g_ID0EKAAC_1"/>
      <w:bookmarkEnd w:id="6"/>
      <w:r>
        <w:rPr>
          <w:rFonts w:ascii="Times New Roman" w:hAnsi="Times New Roman"/>
          <w:color w:val="000000"/>
          <w:sz w:val="20"/>
          <w:szCs w:val="20"/>
        </w:rPr>
        <w:t>There are three groups of animal drugs</w:t>
      </w:r>
      <w:r>
        <w:rPr>
          <w:rFonts w:ascii="Times New Roman" w:hAnsi="Times New Roman"/>
          <w:color w:val="000000"/>
          <w:sz w:val="20"/>
          <w:szCs w:val="20"/>
        </w:rPr>
        <w:t xml:space="preserve"> that CVM regulates: 1) those for companion animals such as dogs and cats; 2) those for major food species such as beef, swine, and poultry; and 3) those for </w:t>
      </w:r>
      <w:r>
        <w:rPr>
          <w:rFonts w:ascii="Times New Roman" w:hAnsi="Times New Roman"/>
          <w:color w:val="000000"/>
          <w:sz w:val="20"/>
          <w:szCs w:val="20"/>
        </w:rPr>
        <w:t>“</w:t>
      </w:r>
      <w:r>
        <w:rPr>
          <w:rFonts w:ascii="Times New Roman" w:hAnsi="Times New Roman"/>
          <w:color w:val="000000"/>
          <w:sz w:val="20"/>
          <w:szCs w:val="20"/>
        </w:rPr>
        <w:t>all others,</w:t>
      </w:r>
      <w:r>
        <w:rPr>
          <w:rFonts w:ascii="Times New Roman" w:hAnsi="Times New Roman"/>
          <w:color w:val="000000"/>
          <w:sz w:val="20"/>
          <w:szCs w:val="20"/>
        </w:rPr>
        <w:t>”</w:t>
      </w:r>
      <w:r>
        <w:rPr>
          <w:rFonts w:ascii="Times New Roman" w:hAnsi="Times New Roman"/>
          <w:color w:val="000000"/>
          <w:sz w:val="20"/>
          <w:szCs w:val="20"/>
        </w:rPr>
        <w:t xml:space="preserve"> which range from other food-producing animals (sheep and aquaculture), to wildlife (</w:t>
      </w:r>
      <w:r>
        <w:rPr>
          <w:rFonts w:ascii="Times New Roman" w:hAnsi="Times New Roman"/>
          <w:color w:val="000000"/>
          <w:sz w:val="20"/>
          <w:szCs w:val="20"/>
        </w:rPr>
        <w:t>either in the wild or in zoos), to exotic domesticated species (including ferrets and aquarium fish). While the other FDA Centers deal with a single species--</w:t>
      </w:r>
      <w:r>
        <w:rPr>
          <w:rFonts w:ascii="Times New Roman" w:hAnsi="Times New Roman"/>
          <w:i/>
          <w:iCs/>
          <w:color w:val="000000"/>
          <w:sz w:val="20"/>
          <w:szCs w:val="20"/>
        </w:rPr>
        <w:t>Homo Sapiens</w:t>
      </w:r>
      <w:r>
        <w:rPr>
          <w:rFonts w:ascii="Times New Roman" w:hAnsi="Times New Roman"/>
          <w:color w:val="000000"/>
          <w:sz w:val="20"/>
          <w:szCs w:val="20"/>
        </w:rPr>
        <w:t>--and find that species difficult enough when segmented by sex, age, and health status</w:t>
      </w:r>
      <w:r>
        <w:rPr>
          <w:rFonts w:ascii="Times New Roman" w:hAnsi="Times New Roman"/>
          <w:color w:val="000000"/>
          <w:sz w:val="20"/>
          <w:szCs w:val="20"/>
        </w:rPr>
        <w:t>, CVM must confront those segments for innumerable species, often overlaid with human health concerns.</w:t>
      </w:r>
    </w:p>
    <w:p w:rsidR="00000000" w:rsidRDefault="00024148">
      <w:pPr>
        <w:widowControl w:val="0"/>
        <w:autoSpaceDE w:val="0"/>
        <w:autoSpaceDN w:val="0"/>
        <w:adjustRightInd w:val="0"/>
        <w:spacing w:after="0" w:line="240" w:lineRule="auto"/>
        <w:jc w:val="both"/>
        <w:rPr>
          <w:rFonts w:ascii="Times New Roman" w:hAnsi="Times New Roman"/>
          <w:color w:val="000000"/>
          <w:sz w:val="20"/>
          <w:szCs w:val="20"/>
        </w:rPr>
      </w:pPr>
      <w:r>
        <w:rPr>
          <w:rFonts w:ascii="Times New Roman" w:hAnsi="Times New Roman"/>
          <w:color w:val="000000"/>
          <w:sz w:val="20"/>
          <w:szCs w:val="20"/>
        </w:rPr>
        <w:t> </w:t>
      </w:r>
    </w:p>
    <w:p w:rsidR="00000000" w:rsidRDefault="00024148">
      <w:pPr>
        <w:widowControl w:val="0"/>
        <w:autoSpaceDE w:val="0"/>
        <w:autoSpaceDN w:val="0"/>
        <w:adjustRightInd w:val="0"/>
        <w:spacing w:after="0" w:line="240" w:lineRule="auto"/>
        <w:jc w:val="both"/>
        <w:rPr>
          <w:rFonts w:ascii="Times New Roman" w:hAnsi="Times New Roman"/>
          <w:color w:val="000000"/>
          <w:sz w:val="20"/>
          <w:szCs w:val="20"/>
        </w:rPr>
      </w:pPr>
      <w:bookmarkStart w:id="7" w:name="co_g_ID0E2AAC_1"/>
      <w:bookmarkEnd w:id="7"/>
      <w:r>
        <w:rPr>
          <w:rFonts w:ascii="Times New Roman" w:hAnsi="Times New Roman"/>
          <w:color w:val="000000"/>
          <w:sz w:val="20"/>
          <w:szCs w:val="20"/>
        </w:rPr>
        <w:t>CVM could be as large as the other four product Centers combined, and it could not regulate to the depth of those Centers</w:t>
      </w:r>
      <w:r>
        <w:rPr>
          <w:rFonts w:ascii="Times New Roman" w:hAnsi="Times New Roman"/>
          <w:color w:val="000000"/>
          <w:sz w:val="20"/>
          <w:szCs w:val="20"/>
        </w:rPr>
        <w:t xml:space="preserve">; as a matter of rational priorities, it should not. What will be the driving issues over the next decades? Projecting the past forward, animal drug regulation will be driven by </w:t>
      </w:r>
      <w:r>
        <w:rPr>
          <w:rFonts w:ascii="Times New Roman" w:hAnsi="Times New Roman"/>
          <w:i/>
          <w:iCs/>
          <w:color w:val="000000"/>
          <w:sz w:val="20"/>
          <w:szCs w:val="20"/>
        </w:rPr>
        <w:t>human</w:t>
      </w:r>
      <w:r>
        <w:rPr>
          <w:rFonts w:ascii="Times New Roman" w:hAnsi="Times New Roman"/>
          <w:color w:val="000000"/>
          <w:sz w:val="20"/>
          <w:szCs w:val="20"/>
        </w:rPr>
        <w:t xml:space="preserve"> health concerns, and by the growth of the companion animal market to com</w:t>
      </w:r>
      <w:r>
        <w:rPr>
          <w:rFonts w:ascii="Times New Roman" w:hAnsi="Times New Roman"/>
          <w:color w:val="000000"/>
          <w:sz w:val="20"/>
          <w:szCs w:val="20"/>
        </w:rPr>
        <w:t>fort an aging population (often with aging animals). FDA will have to find a way to avoid regulation that falls outside these driving forces, leaving it to other channels or mechanisms.</w:t>
      </w:r>
    </w:p>
    <w:p w:rsidR="00000000" w:rsidRDefault="00024148">
      <w:pPr>
        <w:widowControl w:val="0"/>
        <w:autoSpaceDE w:val="0"/>
        <w:autoSpaceDN w:val="0"/>
        <w:adjustRightInd w:val="0"/>
        <w:spacing w:after="0" w:line="240" w:lineRule="auto"/>
        <w:jc w:val="both"/>
        <w:rPr>
          <w:rFonts w:ascii="Times New Roman" w:hAnsi="Times New Roman"/>
          <w:color w:val="000000"/>
          <w:sz w:val="20"/>
          <w:szCs w:val="20"/>
        </w:rPr>
      </w:pPr>
      <w:r>
        <w:rPr>
          <w:rFonts w:ascii="Times New Roman" w:hAnsi="Times New Roman"/>
          <w:color w:val="000000"/>
          <w:sz w:val="20"/>
          <w:szCs w:val="20"/>
        </w:rPr>
        <w:t> </w:t>
      </w:r>
    </w:p>
    <w:p w:rsidR="00000000" w:rsidRDefault="00024148">
      <w:pPr>
        <w:widowControl w:val="0"/>
        <w:autoSpaceDE w:val="0"/>
        <w:autoSpaceDN w:val="0"/>
        <w:adjustRightInd w:val="0"/>
        <w:spacing w:before="200" w:after="200" w:line="240" w:lineRule="auto"/>
        <w:jc w:val="center"/>
        <w:rPr>
          <w:rFonts w:ascii="Times New Roman" w:hAnsi="Times New Roman"/>
          <w:b/>
          <w:bCs/>
          <w:color w:val="000000"/>
          <w:sz w:val="20"/>
          <w:szCs w:val="20"/>
        </w:rPr>
      </w:pPr>
      <w:bookmarkStart w:id="8" w:name="co_g_ID0ESBAC_1"/>
      <w:bookmarkEnd w:id="8"/>
      <w:r>
        <w:rPr>
          <w:rFonts w:ascii="Times New Roman" w:hAnsi="Times New Roman"/>
          <w:b/>
          <w:bCs/>
          <w:color w:val="000000"/>
          <w:sz w:val="20"/>
          <w:szCs w:val="20"/>
        </w:rPr>
        <w:t>COMPANION ANIMALS</w:t>
      </w:r>
    </w:p>
    <w:p w:rsidR="00000000" w:rsidRDefault="00024148">
      <w:pPr>
        <w:widowControl w:val="0"/>
        <w:autoSpaceDE w:val="0"/>
        <w:autoSpaceDN w:val="0"/>
        <w:adjustRightInd w:val="0"/>
        <w:spacing w:after="0" w:line="240" w:lineRule="auto"/>
        <w:jc w:val="both"/>
        <w:rPr>
          <w:rFonts w:ascii="Times New Roman" w:hAnsi="Times New Roman"/>
          <w:color w:val="000000"/>
          <w:sz w:val="20"/>
          <w:szCs w:val="20"/>
        </w:rPr>
      </w:pPr>
      <w:bookmarkStart w:id="9" w:name="co_g_ID0E3BAC_1"/>
      <w:bookmarkEnd w:id="9"/>
      <w:r>
        <w:rPr>
          <w:rFonts w:ascii="Times New Roman" w:hAnsi="Times New Roman"/>
          <w:color w:val="000000"/>
          <w:sz w:val="20"/>
          <w:szCs w:val="20"/>
        </w:rPr>
        <w:t xml:space="preserve">For many years, the companion animal drug market was static and limited to drugs for which there was no real human market, such as wormers. As it has become evident that owners are interested in the longevity and comfort of their animals, all of </w:t>
      </w:r>
      <w:r>
        <w:rPr>
          <w:rFonts w:ascii="Times New Roman" w:hAnsi="Times New Roman"/>
          <w:color w:val="000000"/>
          <w:sz w:val="20"/>
          <w:szCs w:val="20"/>
        </w:rPr>
        <w:t>the aging issues that confront humans have become issues for companion animals. The Animal Medicinal Drug Use Clarification Act of 1994 (AMDUCA)</w:t>
      </w:r>
      <w:bookmarkStart w:id="10" w:name="co_footnoteReference_F1117322609_ID0EICA"/>
      <w:bookmarkEnd w:id="10"/>
      <w:r>
        <w:rPr>
          <w:rFonts w:ascii="Times New Roman" w:hAnsi="Times New Roman"/>
          <w:color w:val="000000"/>
          <w:sz w:val="16"/>
          <w:szCs w:val="16"/>
        </w:rPr>
        <w:fldChar w:fldCharType="begin"/>
      </w:r>
      <w:r>
        <w:rPr>
          <w:rFonts w:ascii="Times New Roman" w:hAnsi="Times New Roman"/>
          <w:color w:val="000000"/>
          <w:sz w:val="16"/>
          <w:szCs w:val="16"/>
        </w:rPr>
        <w:instrText>HYPERLINK "#co_footnote_F1117322</w:instrText>
      </w:r>
      <w:r>
        <w:rPr>
          <w:rFonts w:ascii="Times New Roman" w:hAnsi="Times New Roman"/>
          <w:color w:val="000000"/>
          <w:sz w:val="16"/>
          <w:szCs w:val="16"/>
        </w:rPr>
        <w:instrText xml:space="preserve">609_1" </w:instrText>
      </w:r>
      <w:r w:rsidR="00876AF7">
        <w:rPr>
          <w:rFonts w:ascii="Times New Roman" w:hAnsi="Times New Roman"/>
          <w:color w:val="000000"/>
          <w:sz w:val="16"/>
          <w:szCs w:val="16"/>
        </w:rPr>
      </w:r>
      <w:r>
        <w:rPr>
          <w:rFonts w:ascii="Times New Roman" w:hAnsi="Times New Roman"/>
          <w:color w:val="000000"/>
          <w:sz w:val="16"/>
          <w:szCs w:val="16"/>
        </w:rPr>
        <w:fldChar w:fldCharType="separate"/>
      </w:r>
      <w:r>
        <w:rPr>
          <w:rFonts w:ascii="Times New Roman" w:hAnsi="Times New Roman"/>
          <w:color w:val="0000FF"/>
          <w:sz w:val="16"/>
          <w:szCs w:val="16"/>
          <w:vertAlign w:val="superscript"/>
        </w:rPr>
        <w:t>1</w:t>
      </w:r>
      <w:r>
        <w:rPr>
          <w:rFonts w:ascii="Times New Roman" w:hAnsi="Times New Roman"/>
          <w:color w:val="000000"/>
          <w:sz w:val="16"/>
          <w:szCs w:val="16"/>
        </w:rPr>
        <w:fldChar w:fldCharType="end"/>
      </w:r>
      <w:r>
        <w:rPr>
          <w:rFonts w:ascii="Times New Roman" w:hAnsi="Times New Roman"/>
          <w:color w:val="000000"/>
          <w:sz w:val="20"/>
          <w:szCs w:val="20"/>
        </w:rPr>
        <w:t xml:space="preserve"> clarified the ability of veterinarians to use both approved animal and human drugs off-label, and FDA’</w:t>
      </w:r>
      <w:r>
        <w:rPr>
          <w:rFonts w:ascii="Times New Roman" w:hAnsi="Times New Roman"/>
          <w:color w:val="000000"/>
          <w:sz w:val="20"/>
          <w:szCs w:val="20"/>
        </w:rPr>
        <w:t>s implementing regulations continued a policy of benign neglect in the companion animal market for such use. Recently, there has been important interest, which will continue, in the development of drugs that have been proven effective and safe in the targe</w:t>
      </w:r>
      <w:r>
        <w:rPr>
          <w:rFonts w:ascii="Times New Roman" w:hAnsi="Times New Roman"/>
          <w:color w:val="000000"/>
          <w:sz w:val="20"/>
          <w:szCs w:val="20"/>
        </w:rPr>
        <w:t xml:space="preserve">t companion animal species. The most recent developments have been nonsteroidal anit-inflammatory drugs, but other </w:t>
      </w:r>
      <w:r>
        <w:rPr>
          <w:rFonts w:ascii="Times New Roman" w:hAnsi="Times New Roman"/>
          <w:color w:val="000000"/>
          <w:sz w:val="20"/>
          <w:szCs w:val="20"/>
        </w:rPr>
        <w:t>“</w:t>
      </w:r>
      <w:r>
        <w:rPr>
          <w:rFonts w:ascii="Times New Roman" w:hAnsi="Times New Roman"/>
          <w:color w:val="000000"/>
          <w:sz w:val="20"/>
          <w:szCs w:val="20"/>
        </w:rPr>
        <w:t>aging population</w:t>
      </w:r>
      <w:r>
        <w:rPr>
          <w:rFonts w:ascii="Times New Roman" w:hAnsi="Times New Roman"/>
          <w:color w:val="000000"/>
          <w:sz w:val="20"/>
          <w:szCs w:val="20"/>
        </w:rPr>
        <w:t>”</w:t>
      </w:r>
      <w:r>
        <w:rPr>
          <w:rFonts w:ascii="Times New Roman" w:hAnsi="Times New Roman"/>
          <w:color w:val="000000"/>
          <w:sz w:val="20"/>
          <w:szCs w:val="20"/>
        </w:rPr>
        <w:t xml:space="preserve"> drugs are likely to follow. Because consumers will demand the same comfort level in the safety and efficacy of drugs for t</w:t>
      </w:r>
      <w:r>
        <w:rPr>
          <w:rFonts w:ascii="Times New Roman" w:hAnsi="Times New Roman"/>
          <w:color w:val="000000"/>
          <w:sz w:val="20"/>
          <w:szCs w:val="20"/>
        </w:rPr>
        <w:t xml:space="preserve">heir companion animals as they have for themselves, FDA will not be able to avoid devoting significant resources to this category of drugs. FDA also will have to deal with </w:t>
      </w:r>
      <w:r>
        <w:rPr>
          <w:rFonts w:ascii="Times New Roman" w:hAnsi="Times New Roman"/>
          <w:color w:val="000000"/>
          <w:sz w:val="20"/>
          <w:szCs w:val="20"/>
        </w:rPr>
        <w:t>“</w:t>
      </w:r>
      <w:r>
        <w:rPr>
          <w:rFonts w:ascii="Times New Roman" w:hAnsi="Times New Roman"/>
          <w:color w:val="000000"/>
          <w:sz w:val="20"/>
          <w:szCs w:val="20"/>
        </w:rPr>
        <w:t>alternative care,</w:t>
      </w:r>
      <w:r>
        <w:rPr>
          <w:rFonts w:ascii="Times New Roman" w:hAnsi="Times New Roman"/>
          <w:color w:val="000000"/>
          <w:sz w:val="20"/>
          <w:szCs w:val="20"/>
        </w:rPr>
        <w:t>”</w:t>
      </w:r>
      <w:r>
        <w:rPr>
          <w:rFonts w:ascii="Times New Roman" w:hAnsi="Times New Roman"/>
          <w:color w:val="000000"/>
          <w:sz w:val="20"/>
          <w:szCs w:val="20"/>
        </w:rPr>
        <w:t xml:space="preserve"> as it has in the human arena, and this will include not only med</w:t>
      </w:r>
      <w:r>
        <w:rPr>
          <w:rFonts w:ascii="Times New Roman" w:hAnsi="Times New Roman"/>
          <w:color w:val="000000"/>
          <w:sz w:val="20"/>
          <w:szCs w:val="20"/>
        </w:rPr>
        <w:t>ical but also dietary supplement issues. One unresolved issue for animal drug regulation is whether the DSHEA applies, and whether it should.</w:t>
      </w:r>
    </w:p>
    <w:p w:rsidR="00000000" w:rsidRDefault="00024148">
      <w:pPr>
        <w:widowControl w:val="0"/>
        <w:autoSpaceDE w:val="0"/>
        <w:autoSpaceDN w:val="0"/>
        <w:adjustRightInd w:val="0"/>
        <w:spacing w:after="0" w:line="240" w:lineRule="auto"/>
        <w:jc w:val="both"/>
        <w:rPr>
          <w:rFonts w:ascii="Times New Roman" w:hAnsi="Times New Roman"/>
          <w:color w:val="000000"/>
          <w:sz w:val="20"/>
          <w:szCs w:val="20"/>
        </w:rPr>
      </w:pPr>
      <w:r>
        <w:rPr>
          <w:rFonts w:ascii="Times New Roman" w:hAnsi="Times New Roman"/>
          <w:color w:val="000000"/>
          <w:sz w:val="20"/>
          <w:szCs w:val="20"/>
        </w:rPr>
        <w:t> </w:t>
      </w:r>
    </w:p>
    <w:p w:rsidR="00000000" w:rsidRDefault="00024148">
      <w:pPr>
        <w:widowControl w:val="0"/>
        <w:autoSpaceDE w:val="0"/>
        <w:autoSpaceDN w:val="0"/>
        <w:adjustRightInd w:val="0"/>
        <w:spacing w:before="200" w:after="200" w:line="240" w:lineRule="auto"/>
        <w:jc w:val="center"/>
        <w:rPr>
          <w:rFonts w:ascii="Times New Roman" w:hAnsi="Times New Roman"/>
          <w:b/>
          <w:bCs/>
          <w:color w:val="000000"/>
          <w:sz w:val="20"/>
          <w:szCs w:val="20"/>
        </w:rPr>
      </w:pPr>
      <w:bookmarkStart w:id="11" w:name="co_g_ID0EADAC_1"/>
      <w:bookmarkStart w:id="12" w:name="co_pp_sp_101789_34_1"/>
      <w:bookmarkEnd w:id="11"/>
      <w:bookmarkEnd w:id="12"/>
      <w:r>
        <w:rPr>
          <w:rFonts w:ascii="Times New Roman" w:hAnsi="Times New Roman"/>
          <w:b/>
          <w:bCs/>
          <w:color w:val="000000"/>
          <w:sz w:val="20"/>
          <w:szCs w:val="20"/>
        </w:rPr>
        <w:t>*34 HUMAN FOOD SAFETY</w:t>
      </w:r>
    </w:p>
    <w:p w:rsidR="00000000" w:rsidRDefault="00024148">
      <w:pPr>
        <w:widowControl w:val="0"/>
        <w:autoSpaceDE w:val="0"/>
        <w:autoSpaceDN w:val="0"/>
        <w:adjustRightInd w:val="0"/>
        <w:spacing w:after="0" w:line="240" w:lineRule="auto"/>
        <w:jc w:val="both"/>
        <w:rPr>
          <w:rFonts w:ascii="Times New Roman" w:hAnsi="Times New Roman"/>
          <w:color w:val="000000"/>
          <w:sz w:val="20"/>
          <w:szCs w:val="20"/>
        </w:rPr>
      </w:pPr>
      <w:bookmarkStart w:id="13" w:name="co_g_ID0EODAC_1"/>
      <w:bookmarkEnd w:id="13"/>
      <w:r>
        <w:rPr>
          <w:rFonts w:ascii="Times New Roman" w:hAnsi="Times New Roman"/>
          <w:color w:val="000000"/>
          <w:sz w:val="20"/>
          <w:szCs w:val="20"/>
        </w:rPr>
        <w:lastRenderedPageBreak/>
        <w:t>Human food safety has been, and should continue to be, the overriding concern of FDA in the evaluation of both treatment animal drugs and those used for economic reasons (growth promotion and feed efficiency). Historically, FDA’s focus has been (</w:t>
      </w:r>
      <w:r>
        <w:rPr>
          <w:rFonts w:ascii="Times New Roman" w:hAnsi="Times New Roman"/>
          <w:color w:val="000000"/>
          <w:sz w:val="20"/>
          <w:szCs w:val="20"/>
        </w:rPr>
        <w:t>as directed by statute) on drug--or metabolite--residues. The means of assessing the safety of specific chemicals, even ones that are potentially carcinogenic, are well understood and fall squarely within FDA’s mission. More recently, issues have arisen th</w:t>
      </w:r>
      <w:r>
        <w:rPr>
          <w:rFonts w:ascii="Times New Roman" w:hAnsi="Times New Roman"/>
          <w:color w:val="000000"/>
          <w:sz w:val="20"/>
          <w:szCs w:val="20"/>
        </w:rPr>
        <w:t>at involve the effect of animal drugs on microorganisms that reside in or may contaminate animal food products. FDA shares jurisdiction in this area with the U.S. Department of Agriculture, which has primary responsibility for the safety of meat food produ</w:t>
      </w:r>
      <w:r>
        <w:rPr>
          <w:rFonts w:ascii="Times New Roman" w:hAnsi="Times New Roman"/>
          <w:color w:val="000000"/>
          <w:sz w:val="20"/>
          <w:szCs w:val="20"/>
        </w:rPr>
        <w:t>cts, including the contamination of those products with harmful organisms.</w:t>
      </w:r>
    </w:p>
    <w:p w:rsidR="00000000" w:rsidRDefault="00024148">
      <w:pPr>
        <w:widowControl w:val="0"/>
        <w:autoSpaceDE w:val="0"/>
        <w:autoSpaceDN w:val="0"/>
        <w:adjustRightInd w:val="0"/>
        <w:spacing w:after="0" w:line="240" w:lineRule="auto"/>
        <w:jc w:val="both"/>
        <w:rPr>
          <w:rFonts w:ascii="Times New Roman" w:hAnsi="Times New Roman"/>
          <w:color w:val="000000"/>
          <w:sz w:val="20"/>
          <w:szCs w:val="20"/>
        </w:rPr>
      </w:pPr>
      <w:r>
        <w:rPr>
          <w:rFonts w:ascii="Times New Roman" w:hAnsi="Times New Roman"/>
          <w:color w:val="000000"/>
          <w:sz w:val="20"/>
          <w:szCs w:val="20"/>
        </w:rPr>
        <w:t> </w:t>
      </w:r>
    </w:p>
    <w:p w:rsidR="00000000" w:rsidRDefault="00024148">
      <w:pPr>
        <w:widowControl w:val="0"/>
        <w:autoSpaceDE w:val="0"/>
        <w:autoSpaceDN w:val="0"/>
        <w:adjustRightInd w:val="0"/>
        <w:spacing w:after="0" w:line="240" w:lineRule="auto"/>
        <w:jc w:val="both"/>
        <w:rPr>
          <w:rFonts w:ascii="Times New Roman" w:hAnsi="Times New Roman"/>
          <w:color w:val="000000"/>
          <w:sz w:val="20"/>
          <w:szCs w:val="20"/>
        </w:rPr>
      </w:pPr>
      <w:bookmarkStart w:id="14" w:name="co_g_ID0EGEAC_1"/>
      <w:bookmarkEnd w:id="14"/>
      <w:r>
        <w:rPr>
          <w:rFonts w:ascii="Times New Roman" w:hAnsi="Times New Roman"/>
          <w:color w:val="000000"/>
          <w:sz w:val="20"/>
          <w:szCs w:val="20"/>
        </w:rPr>
        <w:t>Prospectively, the issue is how the agencies will use their parallel jurisdiction, and whether th</w:t>
      </w:r>
      <w:r>
        <w:rPr>
          <w:rFonts w:ascii="Times New Roman" w:hAnsi="Times New Roman"/>
          <w:color w:val="000000"/>
          <w:sz w:val="20"/>
          <w:szCs w:val="20"/>
        </w:rPr>
        <w:t>eir actions will balance the benefits to animals of adequate treatment and the risks to humans if treatment increases the prevalence of infectious organisms. Since FDA’s adoption in the early 1970s of risk assessment models for implementing the diethystilb</w:t>
      </w:r>
      <w:r>
        <w:rPr>
          <w:rFonts w:ascii="Times New Roman" w:hAnsi="Times New Roman"/>
          <w:color w:val="000000"/>
          <w:sz w:val="20"/>
          <w:szCs w:val="20"/>
        </w:rPr>
        <w:t>estrol (DES) animal drug exception to the Delaney Clause, that agency has become comfortable with the use of this technique in developing regulatory models. The question will be whether the technique can be applied to these new circumstances.</w:t>
      </w:r>
    </w:p>
    <w:p w:rsidR="00000000" w:rsidRDefault="00024148">
      <w:pPr>
        <w:widowControl w:val="0"/>
        <w:autoSpaceDE w:val="0"/>
        <w:autoSpaceDN w:val="0"/>
        <w:adjustRightInd w:val="0"/>
        <w:spacing w:after="0" w:line="240" w:lineRule="auto"/>
        <w:jc w:val="both"/>
        <w:rPr>
          <w:rFonts w:ascii="Times New Roman" w:hAnsi="Times New Roman"/>
          <w:color w:val="000000"/>
          <w:sz w:val="20"/>
          <w:szCs w:val="20"/>
        </w:rPr>
      </w:pPr>
      <w:r>
        <w:rPr>
          <w:rFonts w:ascii="Times New Roman" w:hAnsi="Times New Roman"/>
          <w:color w:val="000000"/>
          <w:sz w:val="20"/>
          <w:szCs w:val="20"/>
        </w:rPr>
        <w:t> </w:t>
      </w:r>
    </w:p>
    <w:p w:rsidR="00000000" w:rsidRDefault="00024148">
      <w:pPr>
        <w:widowControl w:val="0"/>
        <w:autoSpaceDE w:val="0"/>
        <w:autoSpaceDN w:val="0"/>
        <w:adjustRightInd w:val="0"/>
        <w:spacing w:after="0" w:line="240" w:lineRule="auto"/>
        <w:jc w:val="both"/>
        <w:rPr>
          <w:rFonts w:ascii="Times New Roman" w:hAnsi="Times New Roman"/>
          <w:color w:val="000000"/>
          <w:sz w:val="20"/>
          <w:szCs w:val="20"/>
        </w:rPr>
      </w:pPr>
      <w:bookmarkStart w:id="15" w:name="co_g_ID0EYEAC_1"/>
      <w:bookmarkEnd w:id="15"/>
      <w:r>
        <w:rPr>
          <w:rFonts w:ascii="Times New Roman" w:hAnsi="Times New Roman"/>
          <w:color w:val="000000"/>
          <w:sz w:val="20"/>
          <w:szCs w:val="20"/>
        </w:rPr>
        <w:t>The use of developing methodologies, such as low-level use of antibacterials, the use of recombinant bovine stomatotropin or the development of fat/lean partitioning agents, raises the question of the role of government in judging consum</w:t>
      </w:r>
      <w:r>
        <w:rPr>
          <w:rFonts w:ascii="Times New Roman" w:hAnsi="Times New Roman"/>
          <w:color w:val="000000"/>
          <w:sz w:val="20"/>
          <w:szCs w:val="20"/>
        </w:rPr>
        <w:t xml:space="preserve">er acceptance of these technologies as an evaluation of </w:t>
      </w:r>
      <w:r>
        <w:rPr>
          <w:rFonts w:ascii="Times New Roman" w:hAnsi="Times New Roman"/>
          <w:color w:val="000000"/>
          <w:sz w:val="20"/>
          <w:szCs w:val="20"/>
        </w:rPr>
        <w:t>“</w:t>
      </w:r>
      <w:r>
        <w:rPr>
          <w:rFonts w:ascii="Times New Roman" w:hAnsi="Times New Roman"/>
          <w:color w:val="000000"/>
          <w:sz w:val="20"/>
          <w:szCs w:val="20"/>
        </w:rPr>
        <w:t>safety.</w:t>
      </w:r>
      <w:r>
        <w:rPr>
          <w:rFonts w:ascii="Times New Roman" w:hAnsi="Times New Roman"/>
          <w:color w:val="000000"/>
          <w:sz w:val="20"/>
          <w:szCs w:val="20"/>
        </w:rPr>
        <w:t>”</w:t>
      </w:r>
      <w:r>
        <w:rPr>
          <w:rFonts w:ascii="Times New Roman" w:hAnsi="Times New Roman"/>
          <w:color w:val="000000"/>
          <w:sz w:val="20"/>
          <w:szCs w:val="20"/>
        </w:rPr>
        <w:t xml:space="preserve"> FDA steadfastly has taken the position, domestically and internationally, that safety is judged scientifically, and the success of approved products in the marketplace (including consumer ac</w:t>
      </w:r>
      <w:r>
        <w:rPr>
          <w:rFonts w:ascii="Times New Roman" w:hAnsi="Times New Roman"/>
          <w:color w:val="000000"/>
          <w:sz w:val="20"/>
          <w:szCs w:val="20"/>
        </w:rPr>
        <w:t xml:space="preserve">ceptance) should not be part of that equation. Increasingly, this is not the approach taken by major U.S. trading partners. The ongoing role of the U.S. government to maintain FDA’s historically preeminent position will be an important </w:t>
      </w:r>
      <w:r>
        <w:rPr>
          <w:rFonts w:ascii="Times New Roman" w:hAnsi="Times New Roman"/>
          <w:color w:val="000000"/>
          <w:sz w:val="20"/>
          <w:szCs w:val="20"/>
        </w:rPr>
        <w:t>“</w:t>
      </w:r>
      <w:r>
        <w:rPr>
          <w:rFonts w:ascii="Times New Roman" w:hAnsi="Times New Roman"/>
          <w:color w:val="000000"/>
          <w:sz w:val="20"/>
          <w:szCs w:val="20"/>
        </w:rPr>
        <w:t>food safety</w:t>
      </w:r>
      <w:r>
        <w:rPr>
          <w:rFonts w:ascii="Times New Roman" w:hAnsi="Times New Roman"/>
          <w:color w:val="000000"/>
          <w:sz w:val="20"/>
          <w:szCs w:val="20"/>
        </w:rPr>
        <w:t>”</w:t>
      </w:r>
      <w:r>
        <w:rPr>
          <w:rFonts w:ascii="Times New Roman" w:hAnsi="Times New Roman"/>
          <w:color w:val="000000"/>
          <w:sz w:val="20"/>
          <w:szCs w:val="20"/>
        </w:rPr>
        <w:t xml:space="preserve"> issue.</w:t>
      </w:r>
      <w:r>
        <w:rPr>
          <w:rFonts w:ascii="Times New Roman" w:hAnsi="Times New Roman"/>
          <w:color w:val="000000"/>
          <w:sz w:val="20"/>
          <w:szCs w:val="20"/>
        </w:rPr>
        <w:t xml:space="preserve"> For example, one can question whether FDA’s position on irradiation disclosure has compromised intellectually the agency’s position on the nondisclosure of animal drug use in the food supply.</w:t>
      </w:r>
    </w:p>
    <w:p w:rsidR="00000000" w:rsidRDefault="00024148">
      <w:pPr>
        <w:widowControl w:val="0"/>
        <w:autoSpaceDE w:val="0"/>
        <w:autoSpaceDN w:val="0"/>
        <w:adjustRightInd w:val="0"/>
        <w:spacing w:after="0" w:line="240" w:lineRule="auto"/>
        <w:jc w:val="both"/>
        <w:rPr>
          <w:rFonts w:ascii="Times New Roman" w:hAnsi="Times New Roman"/>
          <w:color w:val="000000"/>
          <w:sz w:val="20"/>
          <w:szCs w:val="20"/>
        </w:rPr>
      </w:pPr>
      <w:r>
        <w:rPr>
          <w:rFonts w:ascii="Times New Roman" w:hAnsi="Times New Roman"/>
          <w:color w:val="000000"/>
          <w:sz w:val="20"/>
          <w:szCs w:val="20"/>
        </w:rPr>
        <w:t> </w:t>
      </w:r>
    </w:p>
    <w:tbl>
      <w:tblPr>
        <w:tblW w:w="0" w:type="auto"/>
        <w:tblLayout w:type="fixed"/>
        <w:tblCellMar>
          <w:left w:w="0" w:type="dxa"/>
          <w:right w:w="0" w:type="dxa"/>
        </w:tblCellMar>
        <w:tblLook w:val="0000" w:firstRow="0" w:lastRow="0" w:firstColumn="0" w:lastColumn="0" w:noHBand="0" w:noVBand="0"/>
      </w:tblPr>
      <w:tblGrid>
        <w:gridCol w:w="600"/>
        <w:gridCol w:w="9480"/>
      </w:tblGrid>
      <w:tr w:rsidR="00000000" w:rsidRPr="00024148">
        <w:tblPrEx>
          <w:tblCellMar>
            <w:top w:w="0" w:type="dxa"/>
            <w:left w:w="0" w:type="dxa"/>
            <w:bottom w:w="0" w:type="dxa"/>
            <w:right w:w="0" w:type="dxa"/>
          </w:tblCellMar>
        </w:tblPrEx>
        <w:tc>
          <w:tcPr>
            <w:tcW w:w="10080" w:type="dxa"/>
            <w:gridSpan w:val="2"/>
            <w:tcBorders>
              <w:top w:val="nil"/>
              <w:left w:val="nil"/>
              <w:bottom w:val="nil"/>
              <w:right w:val="nil"/>
            </w:tcBorders>
            <w:tcMar>
              <w:top w:w="200" w:type="dxa"/>
            </w:tcMar>
          </w:tcPr>
          <w:p w:rsidR="00000000" w:rsidRPr="00024148" w:rsidRDefault="00024148">
            <w:pPr>
              <w:widowControl w:val="0"/>
              <w:autoSpaceDE w:val="0"/>
              <w:autoSpaceDN w:val="0"/>
              <w:adjustRightInd w:val="0"/>
              <w:spacing w:after="0" w:line="240" w:lineRule="auto"/>
              <w:rPr>
                <w:rFonts w:ascii="Times New Roman" w:hAnsi="Times New Roman"/>
                <w:color w:val="000000"/>
                <w:sz w:val="20"/>
                <w:szCs w:val="20"/>
              </w:rPr>
            </w:pPr>
            <w:r w:rsidRPr="00024148">
              <w:rPr>
                <w:rFonts w:ascii="Times New Roman" w:hAnsi="Times New Roman"/>
                <w:color w:val="000000"/>
                <w:sz w:val="20"/>
                <w:szCs w:val="20"/>
              </w:rPr>
              <w:t>Footnotes</w:t>
            </w:r>
          </w:p>
          <w:p w:rsidR="00000000" w:rsidRPr="00024148" w:rsidRDefault="00024148">
            <w:pPr>
              <w:widowControl w:val="0"/>
              <w:autoSpaceDE w:val="0"/>
              <w:autoSpaceDN w:val="0"/>
              <w:adjustRightInd w:val="0"/>
              <w:spacing w:after="0" w:line="240" w:lineRule="auto"/>
              <w:rPr>
                <w:rFonts w:ascii="Times New Roman" w:hAnsi="Times New Roman"/>
                <w:color w:val="000000"/>
                <w:sz w:val="20"/>
                <w:szCs w:val="20"/>
              </w:rPr>
            </w:pPr>
          </w:p>
        </w:tc>
      </w:tr>
      <w:bookmarkStart w:id="16" w:name="co_footnote_F1117322609_1"/>
      <w:bookmarkEnd w:id="16"/>
      <w:tr w:rsidR="00000000" w:rsidRPr="00024148">
        <w:tblPrEx>
          <w:tblCellMar>
            <w:top w:w="0" w:type="dxa"/>
            <w:left w:w="0" w:type="dxa"/>
            <w:bottom w:w="0" w:type="dxa"/>
            <w:right w:w="0" w:type="dxa"/>
          </w:tblCellMar>
        </w:tblPrEx>
        <w:tc>
          <w:tcPr>
            <w:tcW w:w="600" w:type="dxa"/>
            <w:tcBorders>
              <w:top w:val="nil"/>
              <w:left w:val="nil"/>
              <w:bottom w:val="nil"/>
              <w:right w:val="nil"/>
            </w:tcBorders>
          </w:tcPr>
          <w:p w:rsidR="00000000" w:rsidRPr="00024148" w:rsidRDefault="00024148">
            <w:pPr>
              <w:widowControl w:val="0"/>
              <w:autoSpaceDE w:val="0"/>
              <w:autoSpaceDN w:val="0"/>
              <w:adjustRightInd w:val="0"/>
              <w:spacing w:after="0" w:line="240" w:lineRule="auto"/>
              <w:rPr>
                <w:rFonts w:ascii="Times New Roman" w:hAnsi="Times New Roman"/>
                <w:color w:val="000000"/>
                <w:sz w:val="20"/>
                <w:szCs w:val="20"/>
              </w:rPr>
            </w:pPr>
            <w:r w:rsidRPr="00024148">
              <w:rPr>
                <w:rFonts w:ascii="Times New Roman" w:hAnsi="Times New Roman"/>
                <w:color w:val="000000"/>
                <w:sz w:val="20"/>
                <w:szCs w:val="20"/>
              </w:rPr>
              <w:fldChar w:fldCharType="begin"/>
            </w:r>
            <w:r w:rsidRPr="00024148">
              <w:rPr>
                <w:rFonts w:ascii="Times New Roman" w:hAnsi="Times New Roman"/>
                <w:color w:val="000000"/>
                <w:sz w:val="20"/>
                <w:szCs w:val="20"/>
              </w:rPr>
              <w:instrText xml:space="preserve">HYPERLINK "#co_footnoteReference_F1117322609_ID0EICA" </w:instrText>
            </w:r>
            <w:r w:rsidR="00876AF7" w:rsidRPr="00024148">
              <w:rPr>
                <w:rFonts w:ascii="Times New Roman" w:hAnsi="Times New Roman"/>
                <w:color w:val="000000"/>
                <w:sz w:val="20"/>
                <w:szCs w:val="20"/>
              </w:rPr>
            </w:r>
            <w:r w:rsidRPr="00024148">
              <w:rPr>
                <w:rFonts w:ascii="Times New Roman" w:hAnsi="Times New Roman"/>
                <w:color w:val="000000"/>
                <w:sz w:val="20"/>
                <w:szCs w:val="20"/>
              </w:rPr>
              <w:fldChar w:fldCharType="separate"/>
            </w:r>
            <w:r w:rsidRPr="00024148">
              <w:rPr>
                <w:rFonts w:ascii="Times New Roman" w:hAnsi="Times New Roman"/>
                <w:color w:val="0000FF"/>
                <w:sz w:val="20"/>
                <w:szCs w:val="20"/>
                <w:vertAlign w:val="superscript"/>
              </w:rPr>
              <w:t>1</w:t>
            </w:r>
            <w:r w:rsidRPr="00024148">
              <w:rPr>
                <w:rFonts w:ascii="Times New Roman" w:hAnsi="Times New Roman"/>
                <w:color w:val="000000"/>
                <w:sz w:val="20"/>
                <w:szCs w:val="20"/>
              </w:rPr>
              <w:fldChar w:fldCharType="end"/>
            </w:r>
          </w:p>
          <w:p w:rsidR="00000000" w:rsidRPr="00024148" w:rsidRDefault="00024148">
            <w:pPr>
              <w:widowControl w:val="0"/>
              <w:autoSpaceDE w:val="0"/>
              <w:autoSpaceDN w:val="0"/>
              <w:adjustRightInd w:val="0"/>
              <w:spacing w:after="0" w:line="240" w:lineRule="auto"/>
              <w:rPr>
                <w:rFonts w:ascii="Times New Roman" w:hAnsi="Times New Roman"/>
                <w:color w:val="000000"/>
                <w:sz w:val="20"/>
                <w:szCs w:val="20"/>
              </w:rPr>
            </w:pPr>
          </w:p>
        </w:tc>
        <w:tc>
          <w:tcPr>
            <w:tcW w:w="9480" w:type="dxa"/>
            <w:tcBorders>
              <w:top w:val="nil"/>
              <w:left w:val="nil"/>
              <w:bottom w:val="nil"/>
              <w:right w:val="nil"/>
            </w:tcBorders>
            <w:tcMar>
              <w:top w:w="90" w:type="dxa"/>
              <w:bottom w:w="90" w:type="dxa"/>
            </w:tcMar>
          </w:tcPr>
          <w:p w:rsidR="00000000" w:rsidRPr="00024148" w:rsidRDefault="00024148">
            <w:pPr>
              <w:widowControl w:val="0"/>
              <w:autoSpaceDE w:val="0"/>
              <w:autoSpaceDN w:val="0"/>
              <w:adjustRightInd w:val="0"/>
              <w:spacing w:after="0" w:line="240" w:lineRule="auto"/>
              <w:jc w:val="both"/>
              <w:rPr>
                <w:rFonts w:ascii="Times New Roman" w:hAnsi="Times New Roman"/>
                <w:color w:val="000000"/>
                <w:sz w:val="18"/>
                <w:szCs w:val="18"/>
              </w:rPr>
            </w:pPr>
            <w:hyperlink r:id="rId8" w:history="1">
              <w:r w:rsidRPr="00024148">
                <w:rPr>
                  <w:rFonts w:ascii="Times New Roman" w:hAnsi="Times New Roman"/>
                  <w:color w:val="0000FF"/>
                  <w:sz w:val="18"/>
                  <w:szCs w:val="18"/>
                </w:rPr>
                <w:t xml:space="preserve">Pub. L. No. 103-396, 108 Stat. 4153 </w:t>
              </w:r>
            </w:hyperlink>
            <w:r w:rsidRPr="00024148">
              <w:rPr>
                <w:rFonts w:ascii="Times New Roman" w:hAnsi="Times New Roman"/>
                <w:color w:val="000000"/>
                <w:sz w:val="18"/>
                <w:szCs w:val="18"/>
              </w:rPr>
              <w:t xml:space="preserve">(codified at </w:t>
            </w:r>
            <w:hyperlink r:id="rId9" w:history="1">
              <w:r w:rsidRPr="00024148">
                <w:rPr>
                  <w:rFonts w:ascii="Times New Roman" w:hAnsi="Times New Roman"/>
                  <w:color w:val="0000FF"/>
                  <w:sz w:val="18"/>
                  <w:szCs w:val="18"/>
                </w:rPr>
                <w:t>21 U.S.C. § 360b(a)</w:t>
              </w:r>
            </w:hyperlink>
            <w:r w:rsidRPr="00024148">
              <w:rPr>
                <w:rFonts w:ascii="Times New Roman" w:hAnsi="Times New Roman"/>
                <w:color w:val="000000"/>
                <w:sz w:val="18"/>
                <w:szCs w:val="18"/>
              </w:rPr>
              <w:t xml:space="preserve"> (1994)).</w:t>
            </w:r>
          </w:p>
          <w:p w:rsidR="00000000" w:rsidRPr="00024148" w:rsidRDefault="00024148">
            <w:pPr>
              <w:widowControl w:val="0"/>
              <w:autoSpaceDE w:val="0"/>
              <w:autoSpaceDN w:val="0"/>
              <w:adjustRightInd w:val="0"/>
              <w:spacing w:after="0" w:line="240" w:lineRule="auto"/>
              <w:jc w:val="both"/>
              <w:rPr>
                <w:rFonts w:ascii="Times New Roman" w:hAnsi="Times New Roman"/>
                <w:color w:val="000000"/>
                <w:sz w:val="18"/>
                <w:szCs w:val="18"/>
              </w:rPr>
            </w:pPr>
          </w:p>
        </w:tc>
      </w:tr>
    </w:tbl>
    <w:p w:rsidR="00000000" w:rsidRDefault="00024148">
      <w:pPr>
        <w:widowControl w:val="0"/>
        <w:autoSpaceDE w:val="0"/>
        <w:autoSpaceDN w:val="0"/>
        <w:adjustRightInd w:val="0"/>
        <w:spacing w:after="0" w:line="240" w:lineRule="auto"/>
        <w:jc w:val="both"/>
        <w:rPr>
          <w:rFonts w:ascii="Times New Roman" w:hAnsi="Times New Roman"/>
          <w:color w:val="000000"/>
          <w:sz w:val="20"/>
          <w:szCs w:val="20"/>
        </w:rPr>
      </w:pPr>
    </w:p>
    <w:p w:rsidR="00000000" w:rsidRDefault="00024148">
      <w:pPr>
        <w:widowControl w:val="0"/>
        <w:autoSpaceDE w:val="0"/>
        <w:autoSpaceDN w:val="0"/>
        <w:adjustRightInd w:val="0"/>
        <w:spacing w:after="0" w:line="240" w:lineRule="auto"/>
        <w:jc w:val="center"/>
        <w:rPr>
          <w:rFonts w:ascii="Georgia" w:hAnsi="Georgia" w:cs="Georgia"/>
          <w:color w:val="000000"/>
          <w:sz w:val="20"/>
          <w:szCs w:val="20"/>
        </w:rPr>
      </w:pPr>
      <w:r>
        <w:rPr>
          <w:rFonts w:ascii="Georgia" w:hAnsi="Georgia" w:cs="Georgia"/>
          <w:color w:val="000000"/>
          <w:sz w:val="20"/>
          <w:szCs w:val="20"/>
        </w:rPr>
        <w:t>55 FOODDLJ 33</w:t>
      </w:r>
    </w:p>
    <w:tbl>
      <w:tblPr>
        <w:tblW w:w="0" w:type="auto"/>
        <w:tblInd w:w="24" w:type="dxa"/>
        <w:tblLayout w:type="fixed"/>
        <w:tblCellMar>
          <w:left w:w="0" w:type="dxa"/>
          <w:right w:w="0" w:type="dxa"/>
        </w:tblCellMar>
        <w:tblLook w:val="0000" w:firstRow="0" w:lastRow="0" w:firstColumn="0" w:lastColumn="0" w:noHBand="0" w:noVBand="0"/>
      </w:tblPr>
      <w:tblGrid>
        <w:gridCol w:w="4320"/>
        <w:gridCol w:w="5760"/>
      </w:tblGrid>
      <w:tr w:rsidR="00000000" w:rsidRPr="00024148">
        <w:tblPrEx>
          <w:tblCellMar>
            <w:top w:w="0" w:type="dxa"/>
            <w:left w:w="0" w:type="dxa"/>
            <w:bottom w:w="0" w:type="dxa"/>
            <w:right w:w="0" w:type="dxa"/>
          </w:tblCellMar>
        </w:tblPrEx>
        <w:tc>
          <w:tcPr>
            <w:tcW w:w="4320" w:type="dxa"/>
            <w:tcBorders>
              <w:top w:val="single" w:sz="4" w:space="0" w:color="777777"/>
              <w:left w:val="nil"/>
              <w:bottom w:val="nil"/>
              <w:right w:val="nil"/>
            </w:tcBorders>
            <w:tcMar>
              <w:top w:w="100" w:type="dxa"/>
              <w:left w:w="24" w:type="dxa"/>
              <w:right w:w="24" w:type="dxa"/>
            </w:tcMar>
          </w:tcPr>
          <w:p w:rsidR="00000000" w:rsidRPr="00024148" w:rsidRDefault="00024148">
            <w:pPr>
              <w:widowControl w:val="0"/>
              <w:autoSpaceDE w:val="0"/>
              <w:autoSpaceDN w:val="0"/>
              <w:adjustRightInd w:val="0"/>
              <w:spacing w:after="0" w:line="240" w:lineRule="auto"/>
              <w:ind w:left="24" w:right="24"/>
              <w:rPr>
                <w:rFonts w:ascii="Times New Roman" w:hAnsi="Times New Roman"/>
                <w:b/>
                <w:bCs/>
                <w:color w:val="777777"/>
                <w:sz w:val="16"/>
                <w:szCs w:val="16"/>
              </w:rPr>
            </w:pPr>
            <w:r w:rsidRPr="00024148">
              <w:rPr>
                <w:rFonts w:ascii="Times New Roman" w:hAnsi="Times New Roman"/>
                <w:b/>
                <w:bCs/>
                <w:color w:val="777777"/>
                <w:sz w:val="16"/>
                <w:szCs w:val="16"/>
              </w:rPr>
              <w:t>End of Document</w:t>
            </w:r>
          </w:p>
          <w:p w:rsidR="00000000" w:rsidRPr="00024148" w:rsidRDefault="00024148">
            <w:pPr>
              <w:widowControl w:val="0"/>
              <w:autoSpaceDE w:val="0"/>
              <w:autoSpaceDN w:val="0"/>
              <w:adjustRightInd w:val="0"/>
              <w:spacing w:after="0" w:line="240" w:lineRule="auto"/>
              <w:ind w:left="24" w:right="24"/>
              <w:rPr>
                <w:rFonts w:ascii="Times New Roman" w:hAnsi="Times New Roman"/>
                <w:b/>
                <w:bCs/>
                <w:color w:val="777777"/>
                <w:sz w:val="16"/>
                <w:szCs w:val="16"/>
              </w:rPr>
            </w:pPr>
          </w:p>
        </w:tc>
        <w:tc>
          <w:tcPr>
            <w:tcW w:w="5760" w:type="dxa"/>
            <w:tcBorders>
              <w:top w:val="single" w:sz="4" w:space="0" w:color="777777"/>
              <w:left w:val="nil"/>
              <w:bottom w:val="nil"/>
              <w:right w:val="nil"/>
            </w:tcBorders>
            <w:tcMar>
              <w:top w:w="100" w:type="dxa"/>
              <w:left w:w="24" w:type="dxa"/>
              <w:right w:w="24" w:type="dxa"/>
            </w:tcMar>
          </w:tcPr>
          <w:p w:rsidR="00000000" w:rsidRPr="00024148" w:rsidRDefault="00024148">
            <w:pPr>
              <w:widowControl w:val="0"/>
              <w:autoSpaceDE w:val="0"/>
              <w:autoSpaceDN w:val="0"/>
              <w:adjustRightInd w:val="0"/>
              <w:spacing w:after="0" w:line="240" w:lineRule="auto"/>
              <w:ind w:left="24" w:right="24"/>
              <w:jc w:val="right"/>
              <w:rPr>
                <w:rFonts w:ascii="Times New Roman" w:hAnsi="Times New Roman"/>
                <w:color w:val="777777"/>
                <w:sz w:val="16"/>
                <w:szCs w:val="16"/>
              </w:rPr>
            </w:pPr>
            <w:r w:rsidRPr="00024148">
              <w:rPr>
                <w:rFonts w:ascii="Times New Roman" w:hAnsi="Times New Roman"/>
                <w:color w:val="777777"/>
                <w:sz w:val="16"/>
                <w:szCs w:val="16"/>
              </w:rPr>
              <w:t>©</w:t>
            </w:r>
            <w:r w:rsidRPr="00024148">
              <w:rPr>
                <w:rFonts w:ascii="Times New Roman" w:hAnsi="Times New Roman"/>
                <w:color w:val="777777"/>
                <w:sz w:val="16"/>
                <w:szCs w:val="16"/>
              </w:rPr>
              <w:t xml:space="preserve"> 2016 Thomson Reuters. No claim to original U.S. Government Works.</w:t>
            </w:r>
          </w:p>
          <w:p w:rsidR="00000000" w:rsidRPr="00024148" w:rsidRDefault="00024148">
            <w:pPr>
              <w:widowControl w:val="0"/>
              <w:autoSpaceDE w:val="0"/>
              <w:autoSpaceDN w:val="0"/>
              <w:adjustRightInd w:val="0"/>
              <w:spacing w:after="0" w:line="240" w:lineRule="auto"/>
              <w:ind w:left="24" w:right="24"/>
              <w:jc w:val="right"/>
              <w:rPr>
                <w:rFonts w:ascii="Times New Roman" w:hAnsi="Times New Roman"/>
                <w:color w:val="777777"/>
                <w:sz w:val="16"/>
                <w:szCs w:val="16"/>
              </w:rPr>
            </w:pPr>
          </w:p>
        </w:tc>
      </w:tr>
    </w:tbl>
    <w:p w:rsidR="00000000" w:rsidRDefault="00024148">
      <w:pPr>
        <w:widowControl w:val="0"/>
        <w:autoSpaceDE w:val="0"/>
        <w:autoSpaceDN w:val="0"/>
        <w:adjustRightInd w:val="0"/>
        <w:spacing w:after="0" w:line="240" w:lineRule="auto"/>
        <w:jc w:val="both"/>
        <w:rPr>
          <w:rFonts w:ascii="Times New Roman" w:hAnsi="Times New Roman"/>
          <w:color w:val="000000"/>
          <w:sz w:val="20"/>
          <w:szCs w:val="20"/>
        </w:rPr>
      </w:pPr>
    </w:p>
    <w:p w:rsidR="00024148" w:rsidRDefault="00024148">
      <w:pPr>
        <w:widowControl w:val="0"/>
        <w:autoSpaceDE w:val="0"/>
        <w:autoSpaceDN w:val="0"/>
        <w:adjustRightInd w:val="0"/>
        <w:spacing w:after="0" w:line="240" w:lineRule="auto"/>
        <w:rPr>
          <w:rFonts w:ascii="Arial" w:hAnsi="Arial" w:cs="Arial"/>
          <w:sz w:val="24"/>
          <w:szCs w:val="24"/>
        </w:rPr>
      </w:pPr>
    </w:p>
    <w:sectPr w:rsidR="00024148">
      <w:type w:val="continuous"/>
      <w:pgSz w:w="12240" w:h="15840"/>
      <w:pgMar w:top="1080" w:right="1080" w:bottom="1080" w:left="1080"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24148" w:rsidRDefault="00024148">
      <w:pPr>
        <w:spacing w:after="0" w:line="240" w:lineRule="auto"/>
      </w:pPr>
      <w:r>
        <w:separator/>
      </w:r>
    </w:p>
  </w:endnote>
  <w:endnote w:type="continuationSeparator" w:id="0">
    <w:p w:rsidR="00024148" w:rsidRDefault="000241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CellMar>
        <w:left w:w="0" w:type="dxa"/>
        <w:right w:w="0" w:type="dxa"/>
      </w:tblCellMar>
      <w:tblLook w:val="0000" w:firstRow="0" w:lastRow="0" w:firstColumn="0" w:lastColumn="0" w:noHBand="0" w:noVBand="0"/>
    </w:tblPr>
    <w:tblGrid>
      <w:gridCol w:w="9300"/>
      <w:gridCol w:w="700"/>
    </w:tblGrid>
    <w:tr w:rsidR="00000000" w:rsidRPr="00024148">
      <w:tblPrEx>
        <w:tblCellMar>
          <w:top w:w="0" w:type="dxa"/>
          <w:left w:w="0" w:type="dxa"/>
          <w:bottom w:w="0" w:type="dxa"/>
          <w:right w:w="0" w:type="dxa"/>
        </w:tblCellMar>
      </w:tblPrEx>
      <w:tc>
        <w:tcPr>
          <w:tcW w:w="9300" w:type="dxa"/>
          <w:tcBorders>
            <w:top w:val="single" w:sz="8" w:space="0" w:color="AAAAAA"/>
            <w:left w:val="nil"/>
            <w:bottom w:val="nil"/>
            <w:right w:val="nil"/>
          </w:tcBorders>
          <w:tcMar>
            <w:top w:w="60" w:type="dxa"/>
          </w:tcMar>
          <w:vAlign w:val="bottom"/>
        </w:tcPr>
        <w:p w:rsidR="00000000" w:rsidRPr="00024148" w:rsidRDefault="00024148">
          <w:pPr>
            <w:widowControl w:val="0"/>
            <w:autoSpaceDE w:val="0"/>
            <w:autoSpaceDN w:val="0"/>
            <w:adjustRightInd w:val="0"/>
            <w:spacing w:after="0" w:line="240" w:lineRule="auto"/>
            <w:rPr>
              <w:rFonts w:ascii="Arial" w:hAnsi="Arial" w:cs="Arial"/>
              <w:color w:val="AAAAAA"/>
              <w:sz w:val="20"/>
              <w:szCs w:val="20"/>
            </w:rPr>
          </w:pPr>
          <w:r w:rsidRPr="00024148">
            <w:rPr>
              <w:rFonts w:ascii="Arial" w:hAnsi="Arial" w:cs="Arial"/>
              <w:color w:val="AAAAAA"/>
              <w:sz w:val="20"/>
              <w:szCs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8.5pt;height:7.5pt">
                <v:imagedata r:id="rId1" o:title=""/>
              </v:shape>
            </w:pict>
          </w:r>
          <w:r w:rsidRPr="00024148">
            <w:rPr>
              <w:rFonts w:ascii="Arial" w:hAnsi="Arial" w:cs="Arial"/>
              <w:color w:val="AAAAAA"/>
              <w:sz w:val="20"/>
              <w:szCs w:val="20"/>
            </w:rPr>
            <w:t xml:space="preserve"> </w:t>
          </w:r>
          <w:r w:rsidRPr="00024148">
            <w:rPr>
              <w:rFonts w:ascii="Arial" w:hAnsi="Arial" w:cs="Arial"/>
              <w:color w:val="AAAAAA"/>
              <w:sz w:val="20"/>
              <w:szCs w:val="20"/>
            </w:rPr>
            <w:t>©</w:t>
          </w:r>
          <w:r w:rsidRPr="00024148">
            <w:rPr>
              <w:rFonts w:ascii="Arial" w:hAnsi="Arial" w:cs="Arial"/>
              <w:color w:val="AAAAAA"/>
              <w:sz w:val="20"/>
              <w:szCs w:val="20"/>
            </w:rPr>
            <w:t xml:space="preserve"> 2016 Thomson Reuters. No claim to original U.S. Government Works.</w:t>
          </w:r>
        </w:p>
      </w:tc>
      <w:tc>
        <w:tcPr>
          <w:tcW w:w="700" w:type="dxa"/>
          <w:tcBorders>
            <w:top w:val="single" w:sz="8" w:space="0" w:color="AAAAAA"/>
            <w:left w:val="nil"/>
            <w:bottom w:val="nil"/>
            <w:right w:val="nil"/>
          </w:tcBorders>
          <w:tcMar>
            <w:top w:w="60" w:type="dxa"/>
          </w:tcMar>
        </w:tcPr>
        <w:p w:rsidR="00000000" w:rsidRPr="00024148" w:rsidRDefault="00024148">
          <w:pPr>
            <w:widowControl w:val="0"/>
            <w:autoSpaceDE w:val="0"/>
            <w:autoSpaceDN w:val="0"/>
            <w:adjustRightInd w:val="0"/>
            <w:spacing w:after="0" w:line="240" w:lineRule="auto"/>
            <w:jc w:val="right"/>
            <w:rPr>
              <w:rFonts w:ascii="Arial" w:hAnsi="Arial" w:cs="Arial"/>
              <w:color w:val="AAAAAA"/>
              <w:sz w:val="20"/>
              <w:szCs w:val="20"/>
            </w:rPr>
          </w:pPr>
          <w:r w:rsidRPr="00024148">
            <w:rPr>
              <w:rFonts w:ascii="Arial" w:hAnsi="Arial" w:cs="Arial"/>
              <w:color w:val="AAAAAA"/>
              <w:sz w:val="20"/>
              <w:szCs w:val="20"/>
            </w:rPr>
            <w:pgNum/>
          </w:r>
        </w:p>
      </w:tc>
    </w:tr>
  </w:tbl>
  <w:p w:rsidR="00000000" w:rsidRDefault="00024148">
    <w:pPr>
      <w:widowControl w:val="0"/>
      <w:autoSpaceDE w:val="0"/>
      <w:autoSpaceDN w:val="0"/>
      <w:adjustRightInd w:val="0"/>
      <w:spacing w:after="0" w:line="240" w:lineRule="auto"/>
      <w:rPr>
        <w:rFonts w:ascii="Arial" w:hAnsi="Arial" w:cs="Arial"/>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24148" w:rsidRDefault="00024148">
      <w:pPr>
        <w:spacing w:after="0" w:line="240" w:lineRule="auto"/>
      </w:pPr>
      <w:r>
        <w:separator/>
      </w:r>
    </w:p>
  </w:footnote>
  <w:footnote w:type="continuationSeparator" w:id="0">
    <w:p w:rsidR="00024148" w:rsidRDefault="0002414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CellMar>
        <w:left w:w="0" w:type="dxa"/>
        <w:right w:w="0" w:type="dxa"/>
      </w:tblCellMar>
      <w:tblLook w:val="0000" w:firstRow="0" w:lastRow="0" w:firstColumn="0" w:lastColumn="0" w:noHBand="0" w:noVBand="0"/>
    </w:tblPr>
    <w:tblGrid>
      <w:gridCol w:w="9380"/>
      <w:gridCol w:w="700"/>
    </w:tblGrid>
    <w:tr w:rsidR="00000000" w:rsidRPr="00024148">
      <w:tblPrEx>
        <w:tblCellMar>
          <w:top w:w="0" w:type="dxa"/>
          <w:left w:w="0" w:type="dxa"/>
          <w:bottom w:w="0" w:type="dxa"/>
          <w:right w:w="0" w:type="dxa"/>
        </w:tblCellMar>
      </w:tblPrEx>
      <w:tc>
        <w:tcPr>
          <w:tcW w:w="9380" w:type="dxa"/>
          <w:tcBorders>
            <w:top w:val="nil"/>
            <w:left w:val="nil"/>
            <w:bottom w:val="single" w:sz="8" w:space="0" w:color="AAAAAA"/>
            <w:right w:val="nil"/>
          </w:tcBorders>
          <w:tcMar>
            <w:top w:w="400" w:type="dxa"/>
            <w:bottom w:w="60" w:type="dxa"/>
          </w:tcMar>
          <w:vAlign w:val="bottom"/>
        </w:tcPr>
        <w:p w:rsidR="00000000" w:rsidRPr="00024148" w:rsidRDefault="00024148">
          <w:pPr>
            <w:widowControl w:val="0"/>
            <w:autoSpaceDE w:val="0"/>
            <w:autoSpaceDN w:val="0"/>
            <w:adjustRightInd w:val="0"/>
            <w:spacing w:after="0" w:line="240" w:lineRule="auto"/>
            <w:rPr>
              <w:rFonts w:ascii="Arial" w:hAnsi="Arial" w:cs="Arial"/>
              <w:color w:val="000000"/>
              <w:sz w:val="18"/>
              <w:szCs w:val="18"/>
            </w:rPr>
          </w:pPr>
          <w:r w:rsidRPr="00024148">
            <w:rPr>
              <w:rFonts w:ascii="Arial" w:hAnsi="Arial" w:cs="Arial"/>
              <w:b/>
              <w:bCs/>
              <w:color w:val="555555"/>
              <w:sz w:val="18"/>
              <w:szCs w:val="18"/>
            </w:rPr>
            <w:t>ANIMAL DRUGS: FUTURE STEPCHILD OR PIONEER?, 55 Food &amp; Drug L.J. 33</w:t>
          </w:r>
        </w:p>
      </w:tc>
      <w:tc>
        <w:tcPr>
          <w:tcW w:w="700" w:type="dxa"/>
          <w:tcBorders>
            <w:top w:val="nil"/>
            <w:left w:val="nil"/>
            <w:bottom w:val="single" w:sz="8" w:space="0" w:color="AAAAAA"/>
            <w:right w:val="nil"/>
          </w:tcBorders>
          <w:tcMar>
            <w:top w:w="400" w:type="dxa"/>
            <w:bottom w:w="60" w:type="dxa"/>
          </w:tcMar>
        </w:tcPr>
        <w:p w:rsidR="00000000" w:rsidRPr="00024148" w:rsidRDefault="00024148">
          <w:pPr>
            <w:widowControl w:val="0"/>
            <w:autoSpaceDE w:val="0"/>
            <w:autoSpaceDN w:val="0"/>
            <w:adjustRightInd w:val="0"/>
            <w:spacing w:after="0" w:line="240" w:lineRule="auto"/>
            <w:jc w:val="right"/>
            <w:rPr>
              <w:rFonts w:ascii="Arial" w:hAnsi="Arial" w:cs="Arial"/>
              <w:color w:val="000000"/>
              <w:sz w:val="18"/>
              <w:szCs w:val="18"/>
            </w:rPr>
          </w:pPr>
        </w:p>
      </w:tc>
    </w:tr>
    <w:tr w:rsidR="00000000" w:rsidRPr="00024148">
      <w:tblPrEx>
        <w:tblCellMar>
          <w:top w:w="0" w:type="dxa"/>
          <w:left w:w="0" w:type="dxa"/>
          <w:bottom w:w="0" w:type="dxa"/>
          <w:right w:w="0" w:type="dxa"/>
        </w:tblCellMar>
      </w:tblPrEx>
      <w:tc>
        <w:tcPr>
          <w:tcW w:w="10080" w:type="dxa"/>
          <w:gridSpan w:val="2"/>
          <w:tcBorders>
            <w:top w:val="nil"/>
            <w:left w:val="nil"/>
            <w:bottom w:val="nil"/>
            <w:right w:val="nil"/>
          </w:tcBorders>
        </w:tcPr>
        <w:p w:rsidR="00000000" w:rsidRPr="00024148" w:rsidRDefault="00024148">
          <w:pPr>
            <w:widowControl w:val="0"/>
            <w:autoSpaceDE w:val="0"/>
            <w:autoSpaceDN w:val="0"/>
            <w:adjustRightInd w:val="0"/>
            <w:spacing w:after="0" w:line="240" w:lineRule="auto"/>
            <w:rPr>
              <w:rFonts w:ascii="Arial" w:hAnsi="Arial" w:cs="Arial"/>
              <w:color w:val="000000"/>
              <w:sz w:val="18"/>
              <w:szCs w:val="18"/>
            </w:rPr>
          </w:pPr>
        </w:p>
      </w:tc>
    </w:tr>
  </w:tbl>
  <w:p w:rsidR="00000000" w:rsidRDefault="00024148">
    <w:pPr>
      <w:widowControl w:val="0"/>
      <w:autoSpaceDE w:val="0"/>
      <w:autoSpaceDN w:val="0"/>
      <w:adjustRightInd w:val="0"/>
      <w:spacing w:after="0" w:line="240" w:lineRule="auto"/>
      <w:rPr>
        <w:rFonts w:ascii="Arial" w:hAnsi="Arial" w:cs="Arial"/>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876AF7"/>
    <w:rsid w:val="00024148"/>
    <w:rsid w:val="00876A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5432FA69-C920-4A84-9063-8635DDDC86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pixelsPerInch w:val="240"/>
</w:webSettings>
</file>

<file path=word/_rels/document.xml.rels><?xml version="1.0" encoding="UTF-8" standalone="yes"?>
<Relationships xmlns="http://schemas.openxmlformats.org/package/2006/relationships"><Relationship Id="rId8" Type="http://schemas.openxmlformats.org/officeDocument/2006/relationships/hyperlink" Target="http://www.westlaw.com/Link/Document/FullText?findType=l&amp;pubNum=1077005&amp;cite=UUID(I5A51D9CA8C-13468FB3AB4-DBDD6566E51)&amp;originatingDoc=I381cf3f149c811db99a18fc28eb0d9ae&amp;refType=SL&amp;originationContext=document&amp;vr=3.0&amp;rs=cblt1.0&amp;transitionType=DocumentItem&amp;contextData=(sc.Search)" TargetMode="Externa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www.westlaw.com/Link/Document/FullText?findType=L&amp;pubNum=1000546&amp;cite=21USCAS360B&amp;originatingDoc=I381cf3f149c811db99a18fc28eb0d9ae&amp;refType=RB&amp;originationContext=document&amp;vr=3.0&amp;rs=cblt1.0&amp;transitionType=DocumentItem&amp;contextData=(sc.Search)#co_pp_8b3b0000958a4"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1013</Words>
  <Characters>5777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 Wang</dc:creator>
  <cp:keywords/>
  <dc:description/>
  <cp:lastModifiedBy>Emil Wang</cp:lastModifiedBy>
  <cp:revision>2</cp:revision>
  <dcterms:created xsi:type="dcterms:W3CDTF">2016-06-12T16:31:00Z</dcterms:created>
  <dcterms:modified xsi:type="dcterms:W3CDTF">2016-06-12T16:31:00Z</dcterms:modified>
</cp:coreProperties>
</file>